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="http://schemas.openxmlformats.org/wordprocessingml/2006/main" xmlns:wp="http://schemas.openxmlformats.org/drawingml/2006/wordprocessingDrawing" xmlns:r="http://schemas.openxmlformats.org/officeDocument/2006/relationships" xmlns:v="urn:schemas-microsoft-com:vml" xmlns:w10="urn:schemas-microsoft-com:office:word" xmlns:o="urn:schemas-microsoft-com:office:office" xmlns:wp14="http://schemas.microsoft.com/office/word/2010/wordprocessingDrawing" xmlns:w14="http://schemas.microsoft.com/office/word/2010/wordml" xmlns:mc="http://schemas.openxmlformats.org/markup-compatibility/2006" xmlns:m="http://schemas.openxmlformats.org/officeDocument/2006/math" xmlns:wps="http://schemas.microsoft.com/office/word/2010/wordprocessingShape" xmlns:wpg="http://schemas.microsoft.com/office/word/2010/wordprocessingGroup" xmlns:wpi="http://schemas.microsoft.com/office/word/2010/wordprocessingInk" xmlns:wpc="http://schemas.microsoft.com/office/word/2010/wordprocessingCanvas" xmlns:wpsCustomData="http://www.wps.cn/officeDocument/2013/wpsCustomData" mc:Ignorable="w14 wp14">
  <w:body>
    <w:p>
      <w:pPr>
        <w:pStyle w:val="style0"/>
        <w:rPr/>
      </w:pPr>
      <w:r>
        <w:t>Resoconto  del</w:t>
      </w:r>
      <w:r>
        <w:t xml:space="preserve"> confronto al Ministero del12/03/2025 su percorsi Indire</w:t>
      </w:r>
    </w:p>
    <w:p>
      <w:pPr>
        <w:pStyle w:val="style0"/>
        <w:rPr/>
      </w:pPr>
    </w:p>
    <w:p>
      <w:pPr>
        <w:pStyle w:val="style0"/>
        <w:rPr/>
      </w:pPr>
      <w:r>
        <w:t xml:space="preserve">Si è svolto oggi al MIM il confronto chiesto dalle </w:t>
      </w:r>
      <w:r>
        <w:t>OO</w:t>
      </w:r>
      <w:r>
        <w:rPr>
          <w:lang w:val="en-US"/>
        </w:rPr>
        <w:t>.</w:t>
      </w:r>
      <w:r>
        <w:t>SS</w:t>
      </w:r>
      <w:r>
        <w:rPr>
          <w:lang w:val="en-US"/>
        </w:rPr>
        <w:t xml:space="preserve">. </w:t>
      </w:r>
      <w:r>
        <w:t>nell’incontro del 6 marzo sui percorsi di specializzazione su sostegno organizzati dall’INDIRE.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  <w:r>
        <w:t xml:space="preserve">L’amministrazione ci ha fornito (poco prima dell’incontro) l’allegato B, mancante nella precedente riunione, contenente </w:t>
      </w:r>
      <w:r>
        <w:rPr>
          <w:rFonts w:ascii="Times New Roman" w:cs="Times New Roman" w:hAnsi="Times New Roman"/>
          <w:sz w:val="24"/>
          <w:szCs w:val="24"/>
        </w:rPr>
        <w:t>il fabbisogno di docenti specializzati per il sostegno didattico agli alunni con disabilità ai fini dell’attivazione dei percorsi formazione</w:t>
      </w:r>
      <w:r>
        <w:rPr>
          <w:rFonts w:ascii="Times New Roman" w:cs="Times New Roman" w:hAnsi="Times New Roman"/>
          <w:sz w:val="24"/>
          <w:szCs w:val="24"/>
        </w:rPr>
        <w:t>. (In allegato)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Da una prima valutazione emerge la differen</w:t>
      </w:r>
      <w:r>
        <w:rPr>
          <w:rFonts w:ascii="Times New Roman" w:cs="Times New Roman" w:hAnsi="Times New Roman"/>
          <w:sz w:val="24"/>
          <w:szCs w:val="24"/>
        </w:rPr>
        <w:t>te carenza di specializzati</w:t>
      </w:r>
      <w:r>
        <w:rPr>
          <w:rFonts w:ascii="Times New Roman" w:cs="Times New Roman" w:hAnsi="Times New Roman"/>
          <w:sz w:val="24"/>
          <w:szCs w:val="24"/>
        </w:rPr>
        <w:t xml:space="preserve"> tra i diversi gradi</w:t>
      </w:r>
      <w:r>
        <w:rPr>
          <w:rFonts w:ascii="Times New Roman" w:cs="Times New Roman" w:hAnsi="Times New Roman"/>
          <w:sz w:val="24"/>
          <w:szCs w:val="24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già rilevata dalle OO.SS. nel precedente incontro</w:t>
      </w:r>
      <w:r>
        <w:rPr>
          <w:rFonts w:ascii="Times New Roman" w:cs="Times New Roman" w:hAnsi="Times New Roman"/>
          <w:sz w:val="24"/>
          <w:szCs w:val="24"/>
        </w:rPr>
        <w:t xml:space="preserve">, anche se i dati riguardano </w:t>
      </w:r>
      <w:r>
        <w:rPr>
          <w:rFonts w:cs="Times New Roman" w:hAnsi="Times New Roman"/>
          <w:sz w:val="24"/>
          <w:szCs w:val="24"/>
          <w:lang w:val="en-US"/>
        </w:rPr>
        <w:t xml:space="preserve">i non </w:t>
      </w:r>
      <w:r>
        <w:rPr>
          <w:rFonts w:ascii="Times New Roman" w:cs="Times New Roman" w:hAnsi="Times New Roman"/>
          <w:sz w:val="24"/>
          <w:szCs w:val="24"/>
        </w:rPr>
        <w:t xml:space="preserve">specializzati che </w:t>
      </w:r>
      <w:r>
        <w:rPr>
          <w:rFonts w:ascii="Times New Roman" w:cs="Times New Roman" w:hAnsi="Times New Roman"/>
          <w:sz w:val="24"/>
          <w:szCs w:val="24"/>
        </w:rPr>
        <w:t xml:space="preserve">nello scorso anno </w:t>
      </w:r>
      <w:r>
        <w:rPr>
          <w:rFonts w:ascii="Times New Roman" w:cs="Times New Roman" w:hAnsi="Times New Roman"/>
          <w:sz w:val="24"/>
          <w:szCs w:val="24"/>
        </w:rPr>
        <w:t>hanno avuto una supplenza</w:t>
      </w:r>
      <w:r>
        <w:rPr>
          <w:rFonts w:cs="Times New Roman" w:hAnsi="Times New Roman"/>
          <w:sz w:val="24"/>
          <w:szCs w:val="24"/>
          <w:lang w:val="en-US"/>
        </w:rPr>
        <w:t>, q</w:t>
      </w:r>
      <w:r>
        <w:rPr>
          <w:rFonts w:ascii="Times New Roman" w:cs="Times New Roman" w:hAnsi="Times New Roman"/>
          <w:sz w:val="24"/>
          <w:szCs w:val="24"/>
        </w:rPr>
        <w:t xml:space="preserve">uindi possono non rispondere esattamente alle esigenze di specializzati nel territorio. </w:t>
      </w:r>
      <w:r>
        <w:rPr>
          <w:rFonts w:ascii="Times New Roman" w:cs="Times New Roman" w:hAnsi="Times New Roman"/>
          <w:sz w:val="24"/>
          <w:szCs w:val="24"/>
          <w:lang w:val="en-US"/>
        </w:rPr>
        <w:t xml:space="preserve">Purtroppo la </w:t>
      </w:r>
      <w:r>
        <w:rPr>
          <w:rFonts w:ascii="Times New Roman" w:cs="Times New Roman" w:hAnsi="Times New Roman"/>
          <w:sz w:val="24"/>
          <w:szCs w:val="24"/>
        </w:rPr>
        <w:t xml:space="preserve">differenza </w:t>
      </w:r>
      <w:r>
        <w:rPr>
          <w:rFonts w:ascii="Times New Roman" w:cs="Times New Roman" w:hAnsi="Times New Roman"/>
          <w:sz w:val="24"/>
          <w:szCs w:val="24"/>
          <w:lang w:val="en-US"/>
        </w:rPr>
        <w:t xml:space="preserve">territoriale </w:t>
      </w:r>
      <w:r>
        <w:rPr>
          <w:rFonts w:ascii="Times New Roman" w:cs="Times New Roman" w:hAnsi="Times New Roman"/>
          <w:sz w:val="24"/>
          <w:szCs w:val="24"/>
        </w:rPr>
        <w:t>non verrà colmata con i corsi INDIRE dal momento che verranno svolti on line, solo gli esami saranno in presenza.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Le richieste della Gilda: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1 – che anche il percorso per i possessori di titolo estero sia svolto in non meno di 4 mesi (al momento non c’è alcuna indicazione temporale) come è previsto per i triennalisti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2 – che il costo massimo dei corsi per i triennalisti sia di 900 euro come per i possessori di titolo estero che devono fare 36 CFU o che sia almeno proporzionale al numero di CFU. Attualmente l’importo per i triennalisti è di 1500 euro max</w:t>
      </w:r>
      <w:r>
        <w:rPr>
          <w:rFonts w:ascii="Times New Roman" w:cs="Times New Roman" w:hAnsi="Times New Roman"/>
          <w:sz w:val="24"/>
          <w:szCs w:val="24"/>
        </w:rPr>
        <w:t xml:space="preserve">, come </w:t>
      </w:r>
      <w:r>
        <w:rPr>
          <w:rFonts w:ascii="Times New Roman" w:cs="Times New Roman" w:hAnsi="Times New Roman"/>
          <w:sz w:val="24"/>
          <w:szCs w:val="24"/>
        </w:rPr>
        <w:t>per  i</w:t>
      </w:r>
      <w:r>
        <w:rPr>
          <w:rFonts w:ascii="Times New Roman" w:cs="Times New Roman" w:hAnsi="Times New Roman"/>
          <w:sz w:val="24"/>
          <w:szCs w:val="24"/>
        </w:rPr>
        <w:t xml:space="preserve"> possessori di titolo estero che devono fare 48CFU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3 – Che ci sia un controllo rigoroso dei titoli esteri. Inoltre abbiamo chiesto che sia chiarita l’interpretazione della norma che dà la possibilità di accedere ai corsi INDIRE anche a coloro che hanno ricevuto un diniego per la validità del titolo. Questa ci appare una sanatoria non una regolarizzazione di una posizione nella quale l’amministrazione era stata inadempiente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La maggioranza delle OO.SS. concorda con le nostre richiest</w:t>
      </w:r>
      <w:r>
        <w:rPr>
          <w:rFonts w:ascii="Times New Roman" w:cs="Times New Roman" w:hAnsi="Times New Roman"/>
          <w:sz w:val="24"/>
          <w:szCs w:val="24"/>
        </w:rPr>
        <w:t>e</w:t>
      </w:r>
      <w:r>
        <w:rPr>
          <w:rFonts w:ascii="Times New Roman" w:cs="Times New Roman" w:hAnsi="Times New Roman"/>
          <w:sz w:val="24"/>
          <w:szCs w:val="24"/>
        </w:rPr>
        <w:t xml:space="preserve">, </w:t>
      </w:r>
      <w:r>
        <w:rPr>
          <w:rFonts w:cs="Times New Roman" w:hAnsi="Times New Roman"/>
          <w:sz w:val="24"/>
          <w:szCs w:val="24"/>
          <w:lang w:val="en-US"/>
        </w:rPr>
        <w:t xml:space="preserve">ed inoltre </w:t>
      </w:r>
      <w:r>
        <w:rPr>
          <w:rFonts w:ascii="Times New Roman" w:cs="Times New Roman" w:hAnsi="Times New Roman"/>
          <w:sz w:val="24"/>
          <w:szCs w:val="24"/>
        </w:rPr>
        <w:t xml:space="preserve">chiede che sia inserita </w:t>
      </w:r>
      <w:r>
        <w:rPr>
          <w:rFonts w:ascii="Times New Roman" w:cs="Times New Roman" w:hAnsi="Times New Roman"/>
          <w:sz w:val="24"/>
          <w:szCs w:val="24"/>
        </w:rPr>
        <w:t xml:space="preserve">dopo servizio svolto per </w:t>
      </w:r>
      <w:r>
        <w:rPr>
          <w:rFonts w:ascii="Times New Roman" w:cs="Times New Roman" w:hAnsi="Times New Roman"/>
          <w:sz w:val="24"/>
          <w:szCs w:val="24"/>
        </w:rPr>
        <w:t xml:space="preserve">tre anni sul sostegno </w:t>
      </w:r>
      <w:r>
        <w:rPr>
          <w:rFonts w:ascii="Times New Roman" w:cs="Times New Roman" w:hAnsi="Times New Roman"/>
          <w:sz w:val="24"/>
          <w:szCs w:val="24"/>
        </w:rPr>
        <w:t xml:space="preserve">la dicitura 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in possesso 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nei 3 anni </w:t>
      </w:r>
      <w:r>
        <w:rPr>
          <w:rFonts w:ascii="Times New Roman" w:cs="Times New Roman" w:hAnsi="Times New Roman"/>
          <w:b/>
          <w:bCs/>
          <w:sz w:val="24"/>
          <w:szCs w:val="24"/>
        </w:rPr>
        <w:t xml:space="preserve">del titolo </w:t>
      </w:r>
      <w:r>
        <w:rPr>
          <w:rFonts w:ascii="Times New Roman" w:cs="Times New Roman" w:hAnsi="Times New Roman"/>
          <w:b/>
          <w:bCs/>
          <w:sz w:val="24"/>
          <w:szCs w:val="24"/>
        </w:rPr>
        <w:t>di accesso</w:t>
      </w:r>
      <w:r>
        <w:rPr>
          <w:rFonts w:cs="Times New Roman" w:hAnsi="Times New Roman"/>
          <w:b/>
          <w:bCs/>
          <w:sz w:val="24"/>
          <w:szCs w:val="24"/>
          <w:lang w:val="en-US"/>
        </w:rPr>
        <w:t xml:space="preserve">, </w:t>
      </w:r>
      <w:r>
        <w:rPr>
          <w:rFonts w:cs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se i corsi indire non essendo valutati come corsi universitari sono compatibili con </w:t>
      </w:r>
      <w:r>
        <w:rPr>
          <w:rFonts w:ascii="Times New Roman" w:cs="Times New Roman" w:hAnsi="Times New Roman"/>
          <w:sz w:val="24"/>
          <w:szCs w:val="24"/>
          <w:lang w:val="en-US"/>
        </w:rPr>
        <w:t xml:space="preserve">la </w:t>
      </w:r>
      <w:r>
        <w:rPr>
          <w:rFonts w:ascii="Times New Roman" w:cs="Times New Roman" w:hAnsi="Times New Roman"/>
          <w:sz w:val="24"/>
          <w:szCs w:val="24"/>
        </w:rPr>
        <w:t>frequenza a questi</w:t>
      </w:r>
      <w:r>
        <w:rPr>
          <w:rFonts w:cs="Times New Roman" w:hAnsi="Times New Roman"/>
          <w:sz w:val="24"/>
          <w:szCs w:val="24"/>
          <w:lang w:val="en-US"/>
        </w:rPr>
        <w:t>, e che</w:t>
      </w:r>
      <w:r>
        <w:rPr>
          <w:rFonts w:ascii="Times New Roman" w:cs="Times New Roman" w:hAnsi="Times New Roman"/>
          <w:sz w:val="24"/>
          <w:szCs w:val="24"/>
        </w:rPr>
        <w:t xml:space="preserve"> sia specificata la mail a cui inviare la rinuncia al procedimento per i titoli esteri</w:t>
      </w:r>
      <w:r>
        <w:rPr>
          <w:rFonts w:ascii="Times New Roman" w:cs="Times New Roman" w:hAnsi="Times New Roman"/>
          <w:sz w:val="24"/>
          <w:szCs w:val="24"/>
        </w:rPr>
        <w:t>,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cs="Times New Roman" w:hAnsi="Times New Roman"/>
          <w:sz w:val="24"/>
          <w:szCs w:val="24"/>
          <w:lang w:val="en-US"/>
        </w:rPr>
        <w:t xml:space="preserve">Alcune sigle </w:t>
      </w:r>
      <w:r>
        <w:rPr>
          <w:rFonts w:ascii="Times New Roman" w:cs="Times New Roman" w:hAnsi="Times New Roman"/>
          <w:sz w:val="24"/>
          <w:szCs w:val="24"/>
        </w:rPr>
        <w:t>sono favorevoli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ascii="Times New Roman" w:cs="Times New Roman" w:hAnsi="Times New Roman"/>
          <w:sz w:val="24"/>
          <w:szCs w:val="24"/>
        </w:rPr>
        <w:t xml:space="preserve">ad </w:t>
      </w:r>
      <w:r>
        <w:rPr>
          <w:rFonts w:ascii="Times New Roman" w:cs="Times New Roman" w:hAnsi="Times New Roman"/>
          <w:sz w:val="24"/>
          <w:szCs w:val="24"/>
        </w:rPr>
        <w:t>aumenta</w:t>
      </w:r>
      <w:r>
        <w:rPr>
          <w:rFonts w:ascii="Times New Roman" w:cs="Times New Roman" w:hAnsi="Times New Roman"/>
          <w:sz w:val="24"/>
          <w:szCs w:val="24"/>
        </w:rPr>
        <w:t xml:space="preserve">re </w:t>
      </w:r>
      <w:r>
        <w:rPr>
          <w:rFonts w:ascii="Times New Roman" w:cs="Times New Roman" w:hAnsi="Times New Roman"/>
          <w:sz w:val="24"/>
          <w:szCs w:val="24"/>
        </w:rPr>
        <w:t xml:space="preserve"> la</w:t>
      </w:r>
      <w:r>
        <w:rPr>
          <w:rFonts w:ascii="Times New Roman" w:cs="Times New Roman" w:hAnsi="Times New Roman"/>
          <w:sz w:val="24"/>
          <w:szCs w:val="24"/>
        </w:rPr>
        <w:t xml:space="preserve"> platea di chi può partecipare a questi corsi e a diminuire le ore sincrone di frequenza</w:t>
      </w:r>
      <w:r>
        <w:rPr>
          <w:rFonts w:cs="Times New Roman" w:hAnsi="Times New Roman"/>
          <w:sz w:val="24"/>
          <w:szCs w:val="24"/>
          <w:lang w:val="en-US"/>
        </w:rPr>
        <w:t>,</w:t>
      </w:r>
      <w:r>
        <w:rPr>
          <w:rFonts w:ascii="Times New Roman" w:cs="Times New Roman" w:hAnsi="Times New Roman"/>
          <w:sz w:val="24"/>
          <w:szCs w:val="24"/>
        </w:rPr>
        <w:t xml:space="preserve"> </w:t>
      </w:r>
      <w:r>
        <w:rPr>
          <w:rFonts w:cs="Times New Roman" w:hAnsi="Times New Roman"/>
          <w:sz w:val="24"/>
          <w:szCs w:val="24"/>
          <w:lang w:val="en-US"/>
        </w:rPr>
        <w:t>al</w:t>
      </w:r>
      <w:r>
        <w:rPr>
          <w:rFonts w:ascii="Times New Roman" w:cs="Times New Roman" w:hAnsi="Times New Roman"/>
          <w:sz w:val="24"/>
          <w:szCs w:val="24"/>
        </w:rPr>
        <w:t>tr</w:t>
      </w:r>
      <w:r>
        <w:rPr>
          <w:rFonts w:cs="Times New Roman" w:hAnsi="Times New Roman"/>
          <w:sz w:val="24"/>
          <w:szCs w:val="24"/>
          <w:lang w:val="en-US"/>
        </w:rPr>
        <w:t xml:space="preserve">e </w:t>
      </w:r>
      <w:r>
        <w:rPr>
          <w:rFonts w:ascii="Times New Roman" w:cs="Times New Roman" w:hAnsi="Times New Roman"/>
          <w:sz w:val="24"/>
          <w:szCs w:val="24"/>
        </w:rPr>
        <w:t xml:space="preserve">sono su posizioni più vicine alla Gilda che si è nuovamente dichiarata contraria a sanatorie e che </w:t>
      </w:r>
      <w:r>
        <w:rPr>
          <w:rFonts w:ascii="Times New Roman" w:cs="Times New Roman" w:hAnsi="Times New Roman"/>
          <w:sz w:val="24"/>
          <w:szCs w:val="24"/>
        </w:rPr>
        <w:t>chiede</w:t>
      </w:r>
      <w:r>
        <w:rPr>
          <w:rFonts w:ascii="Times New Roman" w:cs="Times New Roman" w:hAnsi="Times New Roman"/>
          <w:sz w:val="24"/>
          <w:szCs w:val="24"/>
        </w:rPr>
        <w:t xml:space="preserve"> ci sia rigore nell’applicazione  decreti.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b/>
          <w:bCs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</w:rPr>
        <w:t>L’amministrazione accoglie</w:t>
      </w:r>
      <w:r>
        <w:rPr>
          <w:rFonts w:ascii="Times New Roman" w:cs="Times New Roman" w:hAnsi="Times New Roman"/>
          <w:sz w:val="24"/>
          <w:szCs w:val="24"/>
        </w:rPr>
        <w:t xml:space="preserve"> si riserva di esaminare le richieste e si concorda un incontro lunedì 17 alle ore 15,30 per la chiusura del confronto 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eastAsia="Calibri" w:hAnsi="Times New Roman" w:hint="default"/>
          <w:b w:val="false"/>
          <w:bCs w:val="false"/>
          <w:i w:val="false"/>
          <w:iCs w:val="false"/>
          <w:color w:val="auto"/>
          <w:kern w:val="2"/>
          <w:sz w:val="24"/>
          <w:szCs w:val="24"/>
          <w:highlight w:val="none"/>
          <w:vertAlign w:val="baseline"/>
          <w:em w:val="none"/>
          <w:lang w:val="it-IT" w:eastAsia="en-US"/>
        </w:rPr>
        <w:t>dei</w:t>
      </w: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center"/>
        <w:rPr>
          <w:rFonts w:ascii="Times New Roman" w:cs="Times New Roman" w:hAnsi="Times New Roman"/>
          <w:sz w:val="24"/>
          <w:szCs w:val="24"/>
        </w:rPr>
      </w:pPr>
    </w:p>
    <w:p>
      <w:pPr>
        <w:pStyle w:val="style0"/>
        <w:spacing w:after="0" w:lineRule="auto" w:line="240"/>
        <w:jc w:val="both"/>
        <w:rPr>
          <w:rFonts w:ascii="Times New Roman" w:cs="Times New Roman" w:hAnsi="Times New Roman"/>
          <w:sz w:val="24"/>
          <w:szCs w:val="24"/>
        </w:rPr>
      </w:pPr>
      <w:r>
        <w:rPr>
          <w:rFonts w:ascii="Times New Roman" w:cs="Times New Roman" w:hAnsi="Times New Roman"/>
          <w:sz w:val="24"/>
          <w:szCs w:val="24"/>
          <w:lang w:val="en-US"/>
        </w:rPr>
        <w:t xml:space="preserve">La delegazione </w:t>
      </w:r>
    </w:p>
    <w:p>
      <w:pPr>
        <w:pStyle w:val="style0"/>
        <w:rPr/>
      </w:pPr>
    </w:p>
    <w:sectPr>
      <w:pgSz w:w="11906" w:h="16838" w:orient="portrait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002030204"/>
    <w:charset w:val="00"/>
    <w:family w:val="swiss"/>
    <w:pitch w:val="variable"/>
    <w:sig w:usb0="E4002EFF" w:usb1="C200247B" w:usb2="00000009" w:usb3="00000000" w:csb0="000001FF" w:csb1="00000000"/>
  </w:font>
  <w:font w:name="Times New Roman">
    <w:altName w:val="Times New Roman"/>
    <w:panose1 w:val="02020603050004020304"/>
    <w:charset w:val="00"/>
    <w:family w:val="roman"/>
    <w:pitch w:val="variable"/>
    <w:sig w:usb0="E0002EFF" w:usb1="C000785B" w:usb2="00000009" w:usb3="00000000" w:csb0="000001FF" w:csb1="00000000"/>
  </w:font>
  <w:font w:name="Calibri Light">
    <w:altName w:val="Calibri Light"/>
    <w:panose1 w:val="020f0302020002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package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>
  <w:zoom w:percent="100"/>
  <w:proofState w:spelling="clean" w:grammar="clean"/>
  <w:stylePaneFormatFilter w:val="5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1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w="http://schemas.openxmlformats.org/wordprocessingml/2006/main" xmlns:w14="http://schemas.microsoft.com/office/word/2010/wordml" mc:Ignorable="w14">
  <w:docDefaults>
    <w:rPrDefault>
      <w:rPr>
        <w:rFonts w:ascii="Calibri" w:cs="宋体" w:eastAsia="Calibri" w:hAnsi="Calibri"/>
        <w:kern w:val="2"/>
        <w:sz w:val="22"/>
        <w:szCs w:val="22"/>
        <w:lang w:val="it-IT" w:bidi="ar-SA" w:eastAsia="en-US"/>
        <w14:ligatures xmlns:w14="http://schemas.microsoft.com/office/word/2010/wordml" w14:val="standardContextual"/>
      </w:rPr>
    </w:rPrDefault>
    <w:pPrDefault>
      <w:pPr>
        <w:spacing w:after="160" w:lineRule="auto" w:line="259"/>
      </w:pPr>
    </w:pPrDefault>
  </w:docDefaults>
  <w:style w:type="paragraph" w:default="1" w:styleId="style0">
    <w:name w:val="Normal"/>
    <w:next w:val="style0"/>
    <w:qFormat/>
    <w:pPr/>
  </w:style>
  <w:style w:type="paragraph" w:styleId="style1">
    <w:name w:val="heading 1"/>
    <w:basedOn w:val="style0"/>
    <w:next w:val="style0"/>
    <w:link w:val="style4097"/>
    <w:qFormat/>
    <w:uiPriority w:val="9"/>
    <w:pPr>
      <w:keepNext/>
      <w:keepLines/>
      <w:spacing w:before="360" w:after="80"/>
      <w:outlineLvl w:val="0"/>
    </w:pPr>
    <w:rPr>
      <w:rFonts w:ascii="Calibri Light" w:cs="宋体" w:eastAsia="宋体" w:hAnsi="Calibri Light"/>
      <w:color w:val="2f5496"/>
      <w:sz w:val="40"/>
      <w:szCs w:val="40"/>
    </w:rPr>
  </w:style>
  <w:style w:type="paragraph" w:styleId="style2">
    <w:name w:val="heading 2"/>
    <w:basedOn w:val="style0"/>
    <w:next w:val="style0"/>
    <w:link w:val="style4098"/>
    <w:qFormat/>
    <w:uiPriority w:val="9"/>
    <w:pPr>
      <w:keepNext/>
      <w:keepLines/>
      <w:spacing w:before="160" w:after="80"/>
      <w:outlineLvl w:val="1"/>
    </w:pPr>
    <w:rPr>
      <w:rFonts w:ascii="Calibri Light" w:cs="宋体" w:eastAsia="宋体" w:hAnsi="Calibri Light"/>
      <w:color w:val="2f5496"/>
      <w:sz w:val="32"/>
      <w:szCs w:val="32"/>
    </w:rPr>
  </w:style>
  <w:style w:type="paragraph" w:styleId="style3">
    <w:name w:val="heading 3"/>
    <w:basedOn w:val="style0"/>
    <w:next w:val="style0"/>
    <w:link w:val="style4099"/>
    <w:qFormat/>
    <w:uiPriority w:val="9"/>
    <w:pPr>
      <w:keepNext/>
      <w:keepLines/>
      <w:spacing w:before="160" w:after="80"/>
      <w:outlineLvl w:val="2"/>
    </w:pPr>
    <w:rPr>
      <w:rFonts w:cs="宋体" w:eastAsia="宋体"/>
      <w:color w:val="2f5496"/>
      <w:sz w:val="28"/>
      <w:szCs w:val="28"/>
    </w:rPr>
  </w:style>
  <w:style w:type="paragraph" w:styleId="style4">
    <w:name w:val="heading 4"/>
    <w:basedOn w:val="style0"/>
    <w:next w:val="style0"/>
    <w:link w:val="style4100"/>
    <w:qFormat/>
    <w:uiPriority w:val="9"/>
    <w:pPr>
      <w:keepNext/>
      <w:keepLines/>
      <w:spacing w:before="80" w:after="40"/>
      <w:outlineLvl w:val="3"/>
    </w:pPr>
    <w:rPr>
      <w:rFonts w:cs="宋体" w:eastAsia="宋体"/>
      <w:i/>
      <w:iCs/>
      <w:color w:val="2f5496"/>
    </w:rPr>
  </w:style>
  <w:style w:type="paragraph" w:styleId="style5">
    <w:name w:val="heading 5"/>
    <w:basedOn w:val="style0"/>
    <w:next w:val="style0"/>
    <w:link w:val="style4101"/>
    <w:qFormat/>
    <w:uiPriority w:val="9"/>
    <w:pPr>
      <w:keepNext/>
      <w:keepLines/>
      <w:spacing w:before="80" w:after="40"/>
      <w:outlineLvl w:val="4"/>
    </w:pPr>
    <w:rPr>
      <w:rFonts w:cs="宋体" w:eastAsia="宋体"/>
      <w:color w:val="2f5496"/>
    </w:rPr>
  </w:style>
  <w:style w:type="paragraph" w:styleId="style6">
    <w:name w:val="heading 6"/>
    <w:basedOn w:val="style0"/>
    <w:next w:val="style0"/>
    <w:link w:val="style4102"/>
    <w:qFormat/>
    <w:uiPriority w:val="9"/>
    <w:pPr>
      <w:keepNext/>
      <w:keepLines/>
      <w:spacing w:before="40" w:after="0"/>
      <w:outlineLvl w:val="5"/>
    </w:pPr>
    <w:rPr>
      <w:rFonts w:cs="宋体" w:eastAsia="宋体"/>
      <w:i/>
      <w:iCs/>
      <w:color w:val="595959"/>
    </w:rPr>
  </w:style>
  <w:style w:type="paragraph" w:styleId="style7">
    <w:name w:val="heading 7"/>
    <w:basedOn w:val="style0"/>
    <w:next w:val="style0"/>
    <w:link w:val="style4103"/>
    <w:qFormat/>
    <w:uiPriority w:val="9"/>
    <w:pPr>
      <w:keepNext/>
      <w:keepLines/>
      <w:spacing w:before="40" w:after="0"/>
      <w:outlineLvl w:val="6"/>
    </w:pPr>
    <w:rPr>
      <w:rFonts w:cs="宋体" w:eastAsia="宋体"/>
      <w:color w:val="595959"/>
    </w:rPr>
  </w:style>
  <w:style w:type="paragraph" w:styleId="style8">
    <w:name w:val="heading 8"/>
    <w:basedOn w:val="style0"/>
    <w:next w:val="style0"/>
    <w:link w:val="style4104"/>
    <w:qFormat/>
    <w:uiPriority w:val="9"/>
    <w:pPr>
      <w:keepNext/>
      <w:keepLines/>
      <w:spacing w:after="0"/>
      <w:outlineLvl w:val="7"/>
    </w:pPr>
    <w:rPr>
      <w:rFonts w:cs="宋体" w:eastAsia="宋体"/>
      <w:i/>
      <w:iCs/>
      <w:color w:val="272727"/>
    </w:rPr>
  </w:style>
  <w:style w:type="paragraph" w:styleId="style9">
    <w:name w:val="heading 9"/>
    <w:basedOn w:val="style0"/>
    <w:next w:val="style0"/>
    <w:link w:val="style4105"/>
    <w:qFormat/>
    <w:uiPriority w:val="9"/>
    <w:pPr>
      <w:keepNext/>
      <w:keepLines/>
      <w:spacing w:after="0"/>
      <w:outlineLvl w:val="8"/>
    </w:pPr>
    <w:rPr>
      <w:rFonts w:cs="宋体" w:eastAsia="宋体"/>
      <w:color w:val="272727"/>
    </w:rPr>
  </w:style>
  <w:style w:type="character" w:default="1" w:styleId="style65">
    <w:name w:val="Default Paragraph Font"/>
    <w:next w:val="style65"/>
    <w:uiPriority w:val="1"/>
  </w:style>
  <w:style w:type="table" w:default="1" w:styleId="style105">
    <w:name w:val="Normal Table"/>
    <w:next w:val="style105"/>
    <w:uiPriority w:val="99"/>
    <w:pPr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tcBorders/>
    </w:tcPr>
  </w:style>
  <w:style w:type="numbering" w:default="1" w:styleId="style107">
    <w:name w:val="No List"/>
    <w:next w:val="style107"/>
    <w:uiPriority w:val="99"/>
    <w:pPr/>
  </w:style>
  <w:style w:type="character" w:customStyle="1" w:styleId="style4097">
    <w:name w:val="Titolo 1 Carattere"/>
    <w:basedOn w:val="style65"/>
    <w:next w:val="style4097"/>
    <w:link w:val="style1"/>
    <w:uiPriority w:val="9"/>
    <w:rPr>
      <w:rFonts w:ascii="Calibri Light" w:cs="宋体" w:eastAsia="宋体" w:hAnsi="Calibri Light"/>
      <w:color w:val="2f5496"/>
      <w:sz w:val="40"/>
      <w:szCs w:val="40"/>
    </w:rPr>
  </w:style>
  <w:style w:type="character" w:customStyle="1" w:styleId="style4098">
    <w:name w:val="Titolo 2 Carattere"/>
    <w:basedOn w:val="style65"/>
    <w:next w:val="style4098"/>
    <w:link w:val="style2"/>
    <w:uiPriority w:val="9"/>
    <w:rPr>
      <w:rFonts w:ascii="Calibri Light" w:cs="宋体" w:eastAsia="宋体" w:hAnsi="Calibri Light"/>
      <w:color w:val="2f5496"/>
      <w:sz w:val="32"/>
      <w:szCs w:val="32"/>
    </w:rPr>
  </w:style>
  <w:style w:type="character" w:customStyle="1" w:styleId="style4099">
    <w:name w:val="Titolo 3 Carattere"/>
    <w:basedOn w:val="style65"/>
    <w:next w:val="style4099"/>
    <w:link w:val="style3"/>
    <w:uiPriority w:val="9"/>
    <w:rPr>
      <w:rFonts w:cs="宋体" w:eastAsia="宋体"/>
      <w:color w:val="2f5496"/>
      <w:sz w:val="28"/>
      <w:szCs w:val="28"/>
    </w:rPr>
  </w:style>
  <w:style w:type="character" w:customStyle="1" w:styleId="style4100">
    <w:name w:val="Titolo 4 Carattere"/>
    <w:basedOn w:val="style65"/>
    <w:next w:val="style4100"/>
    <w:link w:val="style4"/>
    <w:uiPriority w:val="9"/>
    <w:rPr>
      <w:rFonts w:cs="宋体" w:eastAsia="宋体"/>
      <w:i/>
      <w:iCs/>
      <w:color w:val="2f5496"/>
    </w:rPr>
  </w:style>
  <w:style w:type="character" w:customStyle="1" w:styleId="style4101">
    <w:name w:val="Titolo 5 Carattere"/>
    <w:basedOn w:val="style65"/>
    <w:next w:val="style4101"/>
    <w:link w:val="style5"/>
    <w:uiPriority w:val="9"/>
    <w:rPr>
      <w:rFonts w:cs="宋体" w:eastAsia="宋体"/>
      <w:color w:val="2f5496"/>
    </w:rPr>
  </w:style>
  <w:style w:type="character" w:customStyle="1" w:styleId="style4102">
    <w:name w:val="Titolo 6 Carattere"/>
    <w:basedOn w:val="style65"/>
    <w:next w:val="style4102"/>
    <w:link w:val="style6"/>
    <w:uiPriority w:val="9"/>
    <w:rPr>
      <w:rFonts w:cs="宋体" w:eastAsia="宋体"/>
      <w:i/>
      <w:iCs/>
      <w:color w:val="595959"/>
    </w:rPr>
  </w:style>
  <w:style w:type="character" w:customStyle="1" w:styleId="style4103">
    <w:name w:val="Titolo 7 Carattere"/>
    <w:basedOn w:val="style65"/>
    <w:next w:val="style4103"/>
    <w:link w:val="style7"/>
    <w:uiPriority w:val="9"/>
    <w:rPr>
      <w:rFonts w:cs="宋体" w:eastAsia="宋体"/>
      <w:color w:val="595959"/>
    </w:rPr>
  </w:style>
  <w:style w:type="character" w:customStyle="1" w:styleId="style4104">
    <w:name w:val="Titolo 8 Carattere"/>
    <w:basedOn w:val="style65"/>
    <w:next w:val="style4104"/>
    <w:link w:val="style8"/>
    <w:uiPriority w:val="9"/>
    <w:rPr>
      <w:rFonts w:cs="宋体" w:eastAsia="宋体"/>
      <w:i/>
      <w:iCs/>
      <w:color w:val="272727"/>
    </w:rPr>
  </w:style>
  <w:style w:type="character" w:customStyle="1" w:styleId="style4105">
    <w:name w:val="Titolo 9 Carattere"/>
    <w:basedOn w:val="style65"/>
    <w:next w:val="style4105"/>
    <w:link w:val="style9"/>
    <w:uiPriority w:val="9"/>
    <w:rPr>
      <w:rFonts w:cs="宋体" w:eastAsia="宋体"/>
      <w:color w:val="272727"/>
    </w:rPr>
  </w:style>
  <w:style w:type="paragraph" w:styleId="style62">
    <w:name w:val="Title"/>
    <w:basedOn w:val="style0"/>
    <w:next w:val="style0"/>
    <w:link w:val="style4106"/>
    <w:qFormat/>
    <w:uiPriority w:val="10"/>
    <w:pPr>
      <w:spacing w:after="80" w:lineRule="auto" w:line="240"/>
      <w:contextualSpacing/>
    </w:pPr>
    <w:rPr>
      <w:rFonts w:ascii="Calibri Light" w:cs="宋体" w:eastAsia="宋体" w:hAnsi="Calibri Light"/>
      <w:spacing w:val="-10"/>
      <w:kern w:val="28"/>
      <w:sz w:val="56"/>
      <w:szCs w:val="56"/>
    </w:rPr>
  </w:style>
  <w:style w:type="character" w:customStyle="1" w:styleId="style4106">
    <w:name w:val="Titolo Carattere"/>
    <w:basedOn w:val="style65"/>
    <w:next w:val="style4106"/>
    <w:link w:val="style62"/>
    <w:uiPriority w:val="10"/>
    <w:rPr>
      <w:rFonts w:ascii="Calibri Light" w:cs="宋体" w:eastAsia="宋体" w:hAnsi="Calibri Light"/>
      <w:spacing w:val="-10"/>
      <w:kern w:val="28"/>
      <w:sz w:val="56"/>
      <w:szCs w:val="56"/>
    </w:rPr>
  </w:style>
  <w:style w:type="paragraph" w:styleId="style74">
    <w:name w:val="Subtitle"/>
    <w:basedOn w:val="style0"/>
    <w:next w:val="style0"/>
    <w:link w:val="style4107"/>
    <w:qFormat/>
    <w:uiPriority w:val="11"/>
    <w:pPr>
      <w:numPr>
        <w:ilvl w:val="1"/>
        <w:numId w:val="0"/>
      </w:numPr>
    </w:pPr>
    <w:rPr>
      <w:rFonts w:cs="宋体" w:eastAsia="宋体"/>
      <w:color w:val="595959"/>
      <w:spacing w:val="15"/>
      <w:sz w:val="28"/>
      <w:szCs w:val="28"/>
    </w:rPr>
  </w:style>
  <w:style w:type="character" w:customStyle="1" w:styleId="style4107">
    <w:name w:val="Sottotitolo Carattere"/>
    <w:basedOn w:val="style65"/>
    <w:next w:val="style4107"/>
    <w:link w:val="style74"/>
    <w:uiPriority w:val="11"/>
    <w:rPr>
      <w:rFonts w:cs="宋体" w:eastAsia="宋体"/>
      <w:color w:val="595959"/>
      <w:spacing w:val="15"/>
      <w:sz w:val="28"/>
      <w:szCs w:val="28"/>
    </w:rPr>
  </w:style>
  <w:style w:type="paragraph" w:styleId="style180">
    <w:name w:val="Quote"/>
    <w:basedOn w:val="style0"/>
    <w:next w:val="style0"/>
    <w:link w:val="style4108"/>
    <w:qFormat/>
    <w:uiPriority w:val="29"/>
    <w:pPr>
      <w:spacing w:before="160"/>
      <w:jc w:val="center"/>
    </w:pPr>
    <w:rPr>
      <w:i/>
      <w:iCs/>
      <w:color w:val="404040"/>
    </w:rPr>
  </w:style>
  <w:style w:type="character" w:customStyle="1" w:styleId="style4108">
    <w:name w:val="Citazione Carattere"/>
    <w:basedOn w:val="style65"/>
    <w:next w:val="style4108"/>
    <w:link w:val="style180"/>
    <w:uiPriority w:val="29"/>
    <w:rPr>
      <w:i/>
      <w:iCs/>
      <w:color w:val="404040"/>
    </w:rPr>
  </w:style>
  <w:style w:type="paragraph" w:styleId="style179">
    <w:name w:val="List Paragraph"/>
    <w:basedOn w:val="style0"/>
    <w:next w:val="style179"/>
    <w:qFormat/>
    <w:uiPriority w:val="34"/>
    <w:pPr>
      <w:ind w:left="720"/>
      <w:contextualSpacing/>
    </w:pPr>
    <w:rPr/>
  </w:style>
  <w:style w:type="character" w:styleId="style261">
    <w:name w:val="Intense Emphasis"/>
    <w:basedOn w:val="style65"/>
    <w:next w:val="style261"/>
    <w:qFormat/>
    <w:uiPriority w:val="21"/>
    <w:rPr>
      <w:i/>
      <w:iCs/>
      <w:color w:val="2f5496"/>
    </w:rPr>
  </w:style>
  <w:style w:type="paragraph" w:styleId="style181">
    <w:name w:val="Intense Quote"/>
    <w:basedOn w:val="style0"/>
    <w:next w:val="style0"/>
    <w:link w:val="style4109"/>
    <w:qFormat/>
    <w:uiPriority w:val="30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style4109">
    <w:name w:val="Citazione intensa Carattere"/>
    <w:basedOn w:val="style65"/>
    <w:next w:val="style4109"/>
    <w:link w:val="style181"/>
    <w:uiPriority w:val="30"/>
    <w:rPr>
      <w:i/>
      <w:iCs/>
      <w:color w:val="2f5496"/>
    </w:rPr>
  </w:style>
  <w:style w:type="character" w:styleId="style263">
    <w:name w:val="Intense Reference"/>
    <w:basedOn w:val="style65"/>
    <w:next w:val="style263"/>
    <w:qFormat/>
    <w:uiPriority w:val="32"/>
    <w:rPr>
      <w:b/>
      <w:bCs/>
      <w:smallCaps/>
      <w:color w:val="2f5496"/>
      <w:spacing w:val="5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Words>430</Words>
  <Pages>1</Pages>
  <Characters>2282</Characters>
  <Application>WPS Office</Application>
  <DocSecurity>0</DocSecurity>
  <Paragraphs>23</Paragraphs>
  <ScaleCrop>false</ScaleCrop>
  <LinksUpToDate>false</LinksUpToDate>
  <CharactersWithSpaces>2709</CharactersWithSpaces>
  <SharedDoc>false</SharedDoc>
  <HyperlinksChanged>false</HyperlinksChanged>
  <AppVersion>16.000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2025-03-11T15:55:00Z</dcterms:created>
  <dc:creator>Dirigente Nazionale</dc:creator>
  <lastModifiedBy>CPH2067</lastModifiedBy>
  <dcterms:modified xsi:type="dcterms:W3CDTF">2025-03-11T17:34:44Z</dcterms:modified>
  <revision>1</revision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bce7f52047b241d8b156120b3cf35c80</vt:lpwstr>
  </property>
</Properties>
</file>