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r>
    </w:p>
    <w:p>
      <w:pPr>
        <w:pStyle w:val="Normal"/>
        <w:jc w:val="center"/>
        <w:rPr/>
      </w:pPr>
      <w:r>
        <w:rPr/>
      </w:r>
    </w:p>
    <w:p>
      <w:pPr>
        <w:pStyle w:val="Normal"/>
        <w:jc w:val="both"/>
        <w:rPr/>
      </w:pPr>
      <w:r>
        <w:rPr/>
        <w:t>Nella mattinata del 16 settembre 2026, si è tenuto un incontro tra le OO.SS e l’amministrazione per esaminare la bozza delle nuove tabelle di valutazione per i futuri concorsi.</w:t>
      </w:r>
    </w:p>
    <w:p>
      <w:pPr>
        <w:pStyle w:val="Normal"/>
        <w:jc w:val="both"/>
        <w:rPr/>
      </w:pPr>
      <w:r>
        <w:rPr/>
      </w:r>
    </w:p>
    <w:p>
      <w:pPr>
        <w:pStyle w:val="Normal"/>
        <w:jc w:val="both"/>
        <w:rPr/>
      </w:pPr>
      <w:r>
        <w:rPr/>
        <w:tab/>
        <w:t>L’amministrazione ha enumerato punto per punto le modifiche alle vecchie tabelle:</w:t>
      </w:r>
    </w:p>
    <w:p>
      <w:pPr>
        <w:pStyle w:val="ListParagraph"/>
        <w:numPr>
          <w:ilvl w:val="0"/>
          <w:numId w:val="1"/>
        </w:numPr>
        <w:jc w:val="both"/>
        <w:rPr/>
      </w:pPr>
      <w:r>
        <w:rPr/>
        <w:t>Nel punto A.1.1 (Punteggio per il titolo di accesso alla procedura concorsuale a cattedre per la scuola secondaria di I e II grado per i posti comuni) viene depennato il requisito dei 24 CFU e viene chiarito che le eventuali frazioni di voto saranno arrotondate dopo la conversione in centesimi (il medesimo chiarimento è valido per tutti i titoli di accesso in tutte le procedure);</w:t>
      </w:r>
    </w:p>
    <w:p>
      <w:pPr>
        <w:pStyle w:val="ListParagraph"/>
        <w:numPr>
          <w:ilvl w:val="0"/>
          <w:numId w:val="1"/>
        </w:numPr>
        <w:jc w:val="both"/>
        <w:rPr/>
      </w:pPr>
      <w:r>
        <w:rPr/>
        <w:t>Nel punto A.2.3 vengono attribuiti punti 12,5 ai percorsi di specializzazione indire, di fatto equiparandoli al TFA sostegno;</w:t>
      </w:r>
    </w:p>
    <w:p>
      <w:pPr>
        <w:pStyle w:val="ListParagraph"/>
        <w:numPr>
          <w:ilvl w:val="0"/>
          <w:numId w:val="1"/>
        </w:numPr>
        <w:jc w:val="both"/>
        <w:rPr/>
      </w:pPr>
      <w:r>
        <w:rPr/>
        <w:t>Nel punto A.3.1 (Punteggio per il titolo di accesso alla procedura concorsuale a insegnante tecnico pratico) viene inserito il percorso abilitante specifico come titolo di accesso oltre il requisito del solo diploma;</w:t>
      </w:r>
    </w:p>
    <w:p>
      <w:pPr>
        <w:pStyle w:val="ListParagraph"/>
        <w:numPr>
          <w:ilvl w:val="0"/>
          <w:numId w:val="1"/>
        </w:numPr>
        <w:jc w:val="both"/>
        <w:rPr/>
      </w:pPr>
      <w:r>
        <w:rPr/>
        <w:t>Nei punti A.3.2 e A.3.3 vengono aggiunti ulteriori punti 12,5 per percorsi abilitanti selettivi e punti 5 per percorsi abilitanti non selettivi;</w:t>
      </w:r>
    </w:p>
    <w:p>
      <w:pPr>
        <w:pStyle w:val="ListParagraph"/>
        <w:numPr>
          <w:ilvl w:val="0"/>
          <w:numId w:val="1"/>
        </w:numPr>
        <w:jc w:val="both"/>
        <w:rPr/>
      </w:pPr>
      <w:r>
        <w:rPr/>
        <w:t>Al punto B.4.1 si specifica che i 12,5 punti per il superamento di uno o più concorsi ordinari precedenti sono attribuibili solo qualora tali concorsi siano stati superati per la specifica classe di concorso nel medesimo grado;</w:t>
      </w:r>
    </w:p>
    <w:p>
      <w:pPr>
        <w:pStyle w:val="ListParagraph"/>
        <w:numPr>
          <w:ilvl w:val="0"/>
          <w:numId w:val="1"/>
        </w:numPr>
        <w:jc w:val="both"/>
        <w:rPr/>
      </w:pPr>
      <w:r>
        <w:rPr/>
        <w:t>Al punto B.4.2 si specifica che il dottorato di ricerca svolto presso le Università estere è valutabile purché riconosciuto in Italia secondo la normativa vigente;</w:t>
      </w:r>
    </w:p>
    <w:p>
      <w:pPr>
        <w:pStyle w:val="ListParagraph"/>
        <w:numPr>
          <w:ilvl w:val="0"/>
          <w:numId w:val="1"/>
        </w:numPr>
        <w:jc w:val="both"/>
        <w:rPr/>
      </w:pPr>
      <w:r>
        <w:rPr/>
        <w:t>Al punto B.4.7 si specifica che eventuali lauree triennali e diplomi accademici di I livello sono valutabili non solo qualora non costituiscano titolo di accesso alla laurea specialistica o magistrale o al diploma accademico di II livello, ma anche alla specifica classe di concorso ai sensi del punto A.3.1;</w:t>
      </w:r>
    </w:p>
    <w:p>
      <w:pPr>
        <w:pStyle w:val="ListParagraph"/>
        <w:numPr>
          <w:ilvl w:val="0"/>
          <w:numId w:val="1"/>
        </w:numPr>
        <w:jc w:val="both"/>
        <w:rPr/>
      </w:pPr>
      <w:r>
        <w:rPr/>
        <w:t>Al punto B.4.11 si specifica che anche i titoli CeCLIL devono essere rilasciati dalle Università esattamente come i titoli CLIL;</w:t>
      </w:r>
    </w:p>
    <w:p>
      <w:pPr>
        <w:pStyle w:val="ListParagraph"/>
        <w:numPr>
          <w:ilvl w:val="0"/>
          <w:numId w:val="1"/>
        </w:numPr>
        <w:jc w:val="both"/>
        <w:rPr/>
      </w:pPr>
      <w:r>
        <w:rPr/>
        <w:t>Al punto B.4.12 riguardante le certificazioni linguistiche si specifica che tali certificazioni devono essere rilasciate da Enti ricompresi nell’elenco degli Enti certificatori riconosciuti dal Ministero dell’istruzione ai sensi dei predetti decreti, esclusivamente nel periodo di vigenza del riconoscimento dell’Ente e per ciascun titolo (viene valutato un solo titolo per ciascuna lingua straniera) sono attribuiti punti 3,75 per il C1 e punti 5 per il C2;</w:t>
      </w:r>
    </w:p>
    <w:p>
      <w:pPr>
        <w:pStyle w:val="ListParagraph"/>
        <w:numPr>
          <w:ilvl w:val="0"/>
          <w:numId w:val="1"/>
        </w:numPr>
        <w:jc w:val="both"/>
        <w:rPr/>
      </w:pPr>
      <w:r>
        <w:rPr/>
        <w:t>Al punto B.4.14 viene attribuito un punteggio di 3,75 per il titolo di specializzazione in italiano L2.</w:t>
      </w:r>
    </w:p>
    <w:p>
      <w:pPr>
        <w:pStyle w:val="Normal"/>
        <w:jc w:val="both"/>
        <w:rPr/>
      </w:pPr>
      <w:r>
        <w:rPr/>
        <w:t>La nostra federazione, insieme ad alcune altre sigle sindacali, ha espresso disaccordo riguardo la medesima valutazione dei percorsi sostegno TFA e INDIRE in quanto è si tratta di percorsi diversi e il primo è decisamente più impegnativo e dovrebbe essere giustamente valutato. L’amministrazione non sembra recepire tale parere.</w:t>
      </w:r>
    </w:p>
    <w:p>
      <w:pPr>
        <w:pStyle w:val="Normal"/>
        <w:jc w:val="both"/>
        <w:rPr/>
      </w:pPr>
      <w:r>
        <w:rPr/>
        <w:t>Abbiamo chiesto, inoltre, una più giusta valutazione del servizio aumentandolo da 2 a 5 punti l’anno e considerando anche il servizio aspecifico. In questo caso l’amministrazione valuterà la reale fattibilità della questione.</w:t>
      </w:r>
    </w:p>
    <w:p>
      <w:pPr>
        <w:pStyle w:val="Normal"/>
        <w:jc w:val="both"/>
        <w:rPr/>
      </w:pPr>
      <w:r>
        <w:rPr/>
        <w:t xml:space="preserve">Si è anche affrontata la questione riguardante i punteggi attribuiti a dottorati e assegni di ricerca (ben 12,5) che, essendo molto elevati, vanno in contrasto con i punteggi attribuiti al servizio scolastico attualmente di soli 2 punti l’anno. </w:t>
      </w:r>
    </w:p>
    <w:p>
      <w:pPr>
        <w:pStyle w:val="Normal"/>
        <w:jc w:val="both"/>
        <w:rPr/>
      </w:pPr>
      <w:r>
        <w:rPr/>
        <w:t>Si è chiesto di attribuire i punteggi per i percorsi abilitanti selettivi anche a coloro che hanno conseguito l’abilitazione con i precedenti concorsi ordinari.</w:t>
      </w:r>
    </w:p>
    <w:p>
      <w:pPr>
        <w:pStyle w:val="Normal"/>
        <w:jc w:val="both"/>
        <w:rPr/>
      </w:pPr>
      <w:r>
        <w:rPr/>
        <w:t>Le OO.SS. hanno richiesto il differimento di eventuali prossimi concorsi per dare la possibilità ai molti idonei dei concorsi precedenti, specie i PNRR, che ancora non hanno un ruolo.</w:t>
      </w:r>
    </w:p>
    <w:p>
      <w:pPr>
        <w:pStyle w:val="Normal"/>
        <w:jc w:val="both"/>
        <w:rPr/>
      </w:pPr>
      <w:r>
        <w:rPr/>
        <w:t>Attendiamo le rettifiche di cui si è discusso e eventuali altre convocazioni a riguardo.</w:t>
      </w:r>
    </w:p>
    <w:p>
      <w:pPr>
        <w:pStyle w:val="Normal"/>
        <w:ind w:start="360"/>
        <w:jc w:val="both"/>
        <w:rPr/>
      </w:pPr>
      <w:r>
        <w:rPr/>
      </w:r>
    </w:p>
    <w:p>
      <w:pPr>
        <w:pStyle w:val="Normal"/>
        <w:ind w:start="360"/>
        <w:jc w:val="both"/>
        <w:rPr/>
      </w:pPr>
      <w:r>
        <w:rPr/>
      </w:r>
    </w:p>
    <w:p>
      <w:pPr>
        <w:pStyle w:val="Normal"/>
        <w:ind w:start="360"/>
        <w:jc w:val="both"/>
        <w:rPr/>
      </w:pPr>
      <w:r>
        <w:rPr/>
        <w:t>La delegazione</w:t>
      </w:r>
    </w:p>
    <w:p>
      <w:pPr>
        <w:pStyle w:val="Normal"/>
        <w:jc w:val="both"/>
        <w:rPr/>
      </w:pPr>
      <w:r>
        <w:rPr/>
      </w:r>
    </w:p>
    <w:p>
      <w:pPr>
        <w:pStyle w:val="Normal"/>
        <w:spacing w:before="0" w:after="160"/>
        <w:jc w:val="both"/>
        <w:rPr/>
      </w:pPr>
      <w:r>
        <w:rPr/>
      </w:r>
    </w:p>
    <w:sectPr>
      <w:type w:val="nextPage"/>
      <w:pgSz w:w="11906" w:h="16838"/>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Calibri Light">
    <w:charset w:val="00" w:characterSet="windows-1252"/>
    <w:family w:val="roman"/>
    <w:pitch w:val="variable"/>
  </w:font>
  <w:font w:name="Liberation Sans">
    <w:altName w:val="Arial"/>
    <w:charset w:val="00" w:characterSet="windows-1252"/>
    <w:family w:val="swiss"/>
    <w:pitch w:val="variable"/>
  </w:font>
  <w:font w:name="Calibri">
    <w:charset w:val="01"/>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start"/>
      <w:pPr>
        <w:tabs>
          <w:tab w:val="num" w:pos="0"/>
        </w:tabs>
        <w:ind w:start="720" w:hanging="360"/>
      </w:pPr>
      <w:rPr>
        <w:rFonts w:ascii="Calibri" w:hAnsi="Calibri" w:cs="Calibri"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4"/>
        <w:szCs w:val="24"/>
        <w:lang w:val="it-IT"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8" w:before="0" w:after="160"/>
      <w:jc w:val="start"/>
    </w:pPr>
    <w:rPr>
      <w:rFonts w:ascii="Calibri" w:hAnsi="Calibri" w:eastAsia="Calibri" w:cs="" w:asciiTheme="minorHAnsi" w:cstheme="minorBidi" w:eastAsiaTheme="minorHAnsi" w:hAnsiTheme="minorHAnsi"/>
      <w:color w:val="auto"/>
      <w:kern w:val="2"/>
      <w:sz w:val="24"/>
      <w:szCs w:val="24"/>
      <w:lang w:val="it-IT" w:eastAsia="en-US" w:bidi="ar-SA"/>
      <w14:ligatures w14:val="standardContextual"/>
    </w:rPr>
  </w:style>
  <w:style w:type="paragraph" w:styleId="Heading1">
    <w:name w:val="heading 1"/>
    <w:basedOn w:val="Normal"/>
    <w:next w:val="Normal"/>
    <w:link w:val="Titolo1Carattere"/>
    <w:uiPriority w:val="9"/>
    <w:qFormat/>
    <w:rsid w:val="00fe1406"/>
    <w:pPr>
      <w:keepNext w:val="true"/>
      <w:keepLines/>
      <w:spacing w:before="360" w:after="80"/>
      <w:outlineLvl w:val="0"/>
    </w:pPr>
    <w:rPr>
      <w:rFonts w:ascii="Calibri Light" w:hAnsi="Calibri Light" w:eastAsia="" w:cs="" w:asciiTheme="majorHAnsi" w:cstheme="majorBidi" w:eastAsiaTheme="majorEastAsia" w:hAnsiTheme="majorHAnsi"/>
      <w:color w:themeColor="accent1" w:themeShade="bf" w:val="2F5496"/>
      <w:sz w:val="40"/>
      <w:szCs w:val="40"/>
    </w:rPr>
  </w:style>
  <w:style w:type="paragraph" w:styleId="Heading2">
    <w:name w:val="heading 2"/>
    <w:basedOn w:val="Normal"/>
    <w:next w:val="Normal"/>
    <w:link w:val="Titolo2Carattere"/>
    <w:uiPriority w:val="9"/>
    <w:semiHidden/>
    <w:unhideWhenUsed/>
    <w:qFormat/>
    <w:rsid w:val="00fe1406"/>
    <w:pPr>
      <w:keepNext w:val="true"/>
      <w:keepLines/>
      <w:spacing w:before="160" w:after="80"/>
      <w:outlineLvl w:val="1"/>
    </w:pPr>
    <w:rPr>
      <w:rFonts w:ascii="Calibri Light" w:hAnsi="Calibri Light" w:eastAsia="" w:cs="" w:asciiTheme="majorHAnsi" w:cstheme="majorBidi" w:eastAsiaTheme="majorEastAsia" w:hAnsiTheme="majorHAnsi"/>
      <w:color w:themeColor="accent1" w:themeShade="bf" w:val="2F5496"/>
      <w:sz w:val="32"/>
      <w:szCs w:val="32"/>
    </w:rPr>
  </w:style>
  <w:style w:type="paragraph" w:styleId="Heading3">
    <w:name w:val="heading 3"/>
    <w:basedOn w:val="Normal"/>
    <w:next w:val="Normal"/>
    <w:link w:val="Titolo3Carattere"/>
    <w:uiPriority w:val="9"/>
    <w:semiHidden/>
    <w:unhideWhenUsed/>
    <w:qFormat/>
    <w:rsid w:val="00fe1406"/>
    <w:pPr>
      <w:keepNext w:val="true"/>
      <w:keepLines/>
      <w:spacing w:before="160" w:after="80"/>
      <w:outlineLvl w:val="2"/>
    </w:pPr>
    <w:rPr>
      <w:rFonts w:eastAsia="" w:cs="" w:cstheme="majorBidi" w:eastAsiaTheme="majorEastAsia"/>
      <w:color w:themeColor="accent1" w:themeShade="bf" w:val="2F5496"/>
      <w:sz w:val="28"/>
      <w:szCs w:val="28"/>
    </w:rPr>
  </w:style>
  <w:style w:type="paragraph" w:styleId="Heading4">
    <w:name w:val="heading 4"/>
    <w:basedOn w:val="Normal"/>
    <w:next w:val="Normal"/>
    <w:link w:val="Titolo4Carattere"/>
    <w:uiPriority w:val="9"/>
    <w:semiHidden/>
    <w:unhideWhenUsed/>
    <w:qFormat/>
    <w:rsid w:val="00fe1406"/>
    <w:pPr>
      <w:keepNext w:val="true"/>
      <w:keepLines/>
      <w:spacing w:before="80" w:after="40"/>
      <w:outlineLvl w:val="3"/>
    </w:pPr>
    <w:rPr>
      <w:rFonts w:eastAsia="" w:cs="" w:cstheme="majorBidi" w:eastAsiaTheme="majorEastAsia"/>
      <w:i/>
      <w:iCs/>
      <w:color w:themeColor="accent1" w:themeShade="bf" w:val="2F5496"/>
    </w:rPr>
  </w:style>
  <w:style w:type="paragraph" w:styleId="Heading5">
    <w:name w:val="heading 5"/>
    <w:basedOn w:val="Normal"/>
    <w:next w:val="Normal"/>
    <w:link w:val="Titolo5Carattere"/>
    <w:uiPriority w:val="9"/>
    <w:semiHidden/>
    <w:unhideWhenUsed/>
    <w:qFormat/>
    <w:rsid w:val="00fe1406"/>
    <w:pPr>
      <w:keepNext w:val="true"/>
      <w:keepLines/>
      <w:spacing w:before="80" w:after="40"/>
      <w:outlineLvl w:val="4"/>
    </w:pPr>
    <w:rPr>
      <w:rFonts w:eastAsia="" w:cs="" w:cstheme="majorBidi" w:eastAsiaTheme="majorEastAsia"/>
      <w:color w:themeColor="accent1" w:themeShade="bf" w:val="2F5496"/>
    </w:rPr>
  </w:style>
  <w:style w:type="paragraph" w:styleId="Heading6">
    <w:name w:val="heading 6"/>
    <w:basedOn w:val="Normal"/>
    <w:next w:val="Normal"/>
    <w:link w:val="Titolo6Carattere"/>
    <w:uiPriority w:val="9"/>
    <w:semiHidden/>
    <w:unhideWhenUsed/>
    <w:qFormat/>
    <w:rsid w:val="00fe1406"/>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Titolo7Carattere"/>
    <w:uiPriority w:val="9"/>
    <w:semiHidden/>
    <w:unhideWhenUsed/>
    <w:qFormat/>
    <w:rsid w:val="00fe1406"/>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Titolo8Carattere"/>
    <w:uiPriority w:val="9"/>
    <w:semiHidden/>
    <w:unhideWhenUsed/>
    <w:qFormat/>
    <w:rsid w:val="00fe1406"/>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Titolo9Carattere"/>
    <w:uiPriority w:val="9"/>
    <w:semiHidden/>
    <w:unhideWhenUsed/>
    <w:qFormat/>
    <w:rsid w:val="00fe1406"/>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Titolo1Carattere" w:customStyle="1">
    <w:name w:val="Titolo 1 Carattere"/>
    <w:basedOn w:val="DefaultParagraphFont"/>
    <w:uiPriority w:val="9"/>
    <w:qFormat/>
    <w:rsid w:val="00fe1406"/>
    <w:rPr>
      <w:rFonts w:ascii="Calibri Light" w:hAnsi="Calibri Light" w:eastAsia="" w:cs="" w:asciiTheme="majorHAnsi" w:cstheme="majorBidi" w:eastAsiaTheme="majorEastAsia" w:hAnsiTheme="majorHAnsi"/>
      <w:color w:themeColor="accent1" w:themeShade="bf" w:val="2F5496"/>
      <w:sz w:val="40"/>
      <w:szCs w:val="40"/>
    </w:rPr>
  </w:style>
  <w:style w:type="character" w:styleId="Titolo2Carattere" w:customStyle="1">
    <w:name w:val="Titolo 2 Carattere"/>
    <w:basedOn w:val="DefaultParagraphFont"/>
    <w:uiPriority w:val="9"/>
    <w:semiHidden/>
    <w:qFormat/>
    <w:rsid w:val="00fe1406"/>
    <w:rPr>
      <w:rFonts w:ascii="Calibri Light" w:hAnsi="Calibri Light" w:eastAsia="" w:cs="" w:asciiTheme="majorHAnsi" w:cstheme="majorBidi" w:eastAsiaTheme="majorEastAsia" w:hAnsiTheme="majorHAnsi"/>
      <w:color w:themeColor="accent1" w:themeShade="bf" w:val="2F5496"/>
      <w:sz w:val="32"/>
      <w:szCs w:val="32"/>
    </w:rPr>
  </w:style>
  <w:style w:type="character" w:styleId="Titolo3Carattere" w:customStyle="1">
    <w:name w:val="Titolo 3 Carattere"/>
    <w:basedOn w:val="DefaultParagraphFont"/>
    <w:uiPriority w:val="9"/>
    <w:semiHidden/>
    <w:qFormat/>
    <w:rsid w:val="00fe1406"/>
    <w:rPr>
      <w:rFonts w:eastAsia="" w:cs="" w:cstheme="majorBidi" w:eastAsiaTheme="majorEastAsia"/>
      <w:color w:themeColor="accent1" w:themeShade="bf" w:val="2F5496"/>
      <w:sz w:val="28"/>
      <w:szCs w:val="28"/>
    </w:rPr>
  </w:style>
  <w:style w:type="character" w:styleId="Titolo4Carattere" w:customStyle="1">
    <w:name w:val="Titolo 4 Carattere"/>
    <w:basedOn w:val="DefaultParagraphFont"/>
    <w:uiPriority w:val="9"/>
    <w:semiHidden/>
    <w:qFormat/>
    <w:rsid w:val="00fe1406"/>
    <w:rPr>
      <w:rFonts w:eastAsia="" w:cs="" w:cstheme="majorBidi" w:eastAsiaTheme="majorEastAsia"/>
      <w:i/>
      <w:iCs/>
      <w:color w:themeColor="accent1" w:themeShade="bf" w:val="2F5496"/>
    </w:rPr>
  </w:style>
  <w:style w:type="character" w:styleId="Titolo5Carattere" w:customStyle="1">
    <w:name w:val="Titolo 5 Carattere"/>
    <w:basedOn w:val="DefaultParagraphFont"/>
    <w:uiPriority w:val="9"/>
    <w:semiHidden/>
    <w:qFormat/>
    <w:rsid w:val="00fe1406"/>
    <w:rPr>
      <w:rFonts w:eastAsia="" w:cs="" w:cstheme="majorBidi" w:eastAsiaTheme="majorEastAsia"/>
      <w:color w:themeColor="accent1" w:themeShade="bf" w:val="2F5496"/>
    </w:rPr>
  </w:style>
  <w:style w:type="character" w:styleId="Titolo6Carattere" w:customStyle="1">
    <w:name w:val="Titolo 6 Carattere"/>
    <w:basedOn w:val="DefaultParagraphFont"/>
    <w:uiPriority w:val="9"/>
    <w:semiHidden/>
    <w:qFormat/>
    <w:rsid w:val="00fe1406"/>
    <w:rPr>
      <w:rFonts w:eastAsia="" w:cs="" w:cstheme="majorBidi" w:eastAsiaTheme="majorEastAsia"/>
      <w:i/>
      <w:iCs/>
      <w:color w:themeColor="text1" w:themeTint="a6" w:val="595959"/>
    </w:rPr>
  </w:style>
  <w:style w:type="character" w:styleId="Titolo7Carattere" w:customStyle="1">
    <w:name w:val="Titolo 7 Carattere"/>
    <w:basedOn w:val="DefaultParagraphFont"/>
    <w:uiPriority w:val="9"/>
    <w:semiHidden/>
    <w:qFormat/>
    <w:rsid w:val="00fe1406"/>
    <w:rPr>
      <w:rFonts w:eastAsia="" w:cs="" w:cstheme="majorBidi" w:eastAsiaTheme="majorEastAsia"/>
      <w:color w:themeColor="text1" w:themeTint="a6" w:val="595959"/>
    </w:rPr>
  </w:style>
  <w:style w:type="character" w:styleId="Titolo8Carattere" w:customStyle="1">
    <w:name w:val="Titolo 8 Carattere"/>
    <w:basedOn w:val="DefaultParagraphFont"/>
    <w:uiPriority w:val="9"/>
    <w:semiHidden/>
    <w:qFormat/>
    <w:rsid w:val="00fe1406"/>
    <w:rPr>
      <w:rFonts w:eastAsia="" w:cs="" w:cstheme="majorBidi" w:eastAsiaTheme="majorEastAsia"/>
      <w:i/>
      <w:iCs/>
      <w:color w:themeColor="text1" w:themeTint="d8" w:val="272727"/>
    </w:rPr>
  </w:style>
  <w:style w:type="character" w:styleId="Titolo9Carattere" w:customStyle="1">
    <w:name w:val="Titolo 9 Carattere"/>
    <w:basedOn w:val="DefaultParagraphFont"/>
    <w:uiPriority w:val="9"/>
    <w:semiHidden/>
    <w:qFormat/>
    <w:rsid w:val="00fe1406"/>
    <w:rPr>
      <w:rFonts w:eastAsia="" w:cs="" w:cstheme="majorBidi" w:eastAsiaTheme="majorEastAsia"/>
      <w:color w:themeColor="text1" w:themeTint="d8" w:val="272727"/>
    </w:rPr>
  </w:style>
  <w:style w:type="character" w:styleId="TitoloCarattere" w:customStyle="1">
    <w:name w:val="Titolo Carattere"/>
    <w:basedOn w:val="DefaultParagraphFont"/>
    <w:uiPriority w:val="10"/>
    <w:qFormat/>
    <w:rsid w:val="00fe1406"/>
    <w:rPr>
      <w:rFonts w:ascii="Calibri Light" w:hAnsi="Calibri Light" w:eastAsia="" w:cs="" w:asciiTheme="majorHAnsi" w:cstheme="majorBidi" w:eastAsiaTheme="majorEastAsia" w:hAnsiTheme="majorHAnsi"/>
      <w:spacing w:val="-10"/>
      <w:kern w:val="2"/>
      <w:sz w:val="56"/>
      <w:szCs w:val="56"/>
    </w:rPr>
  </w:style>
  <w:style w:type="character" w:styleId="SottotitoloCarattere" w:customStyle="1">
    <w:name w:val="Sottotitolo Carattere"/>
    <w:basedOn w:val="DefaultParagraphFont"/>
    <w:uiPriority w:val="11"/>
    <w:qFormat/>
    <w:rsid w:val="00fe1406"/>
    <w:rPr>
      <w:rFonts w:eastAsia="" w:cs="" w:cstheme="majorBidi" w:eastAsiaTheme="majorEastAsia"/>
      <w:color w:themeColor="text1" w:themeTint="a6" w:val="595959"/>
      <w:spacing w:val="15"/>
      <w:sz w:val="28"/>
      <w:szCs w:val="28"/>
    </w:rPr>
  </w:style>
  <w:style w:type="character" w:styleId="CitazioneCarattere" w:customStyle="1">
    <w:name w:val="Citazione Carattere"/>
    <w:basedOn w:val="DefaultParagraphFont"/>
    <w:link w:val="Quote"/>
    <w:uiPriority w:val="29"/>
    <w:qFormat/>
    <w:rsid w:val="00fe1406"/>
    <w:rPr>
      <w:i/>
      <w:iCs/>
      <w:color w:themeColor="text1" w:themeTint="bf" w:val="404040"/>
    </w:rPr>
  </w:style>
  <w:style w:type="character" w:styleId="IntenseEmphasis">
    <w:name w:val="Intense Emphasis"/>
    <w:basedOn w:val="DefaultParagraphFont"/>
    <w:uiPriority w:val="21"/>
    <w:qFormat/>
    <w:rsid w:val="00fe1406"/>
    <w:rPr>
      <w:i/>
      <w:iCs/>
      <w:color w:themeColor="accent1" w:themeShade="bf" w:val="2F5496"/>
    </w:rPr>
  </w:style>
  <w:style w:type="character" w:styleId="CitazioneintensaCarattere" w:customStyle="1">
    <w:name w:val="Citazione intensa Carattere"/>
    <w:basedOn w:val="DefaultParagraphFont"/>
    <w:link w:val="IntenseQuote"/>
    <w:uiPriority w:val="30"/>
    <w:qFormat/>
    <w:rsid w:val="00fe1406"/>
    <w:rPr>
      <w:i/>
      <w:iCs/>
      <w:color w:themeColor="accent1" w:themeShade="bf" w:val="2F5496"/>
    </w:rPr>
  </w:style>
  <w:style w:type="character" w:styleId="IntenseReference">
    <w:name w:val="Intense Reference"/>
    <w:basedOn w:val="DefaultParagraphFont"/>
    <w:uiPriority w:val="32"/>
    <w:qFormat/>
    <w:rsid w:val="00fe1406"/>
    <w:rPr>
      <w:b/>
      <w:bCs/>
      <w:smallCaps/>
      <w:color w:themeColor="accent1" w:themeShade="bf" w:val="2F5496"/>
      <w:spacing w:val="5"/>
    </w:rPr>
  </w:style>
  <w:style w:type="paragraph" w:styleId="Titolo">
    <w:name w:val="Tito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Title">
    <w:name w:val="Title"/>
    <w:basedOn w:val="Normal"/>
    <w:next w:val="Normal"/>
    <w:link w:val="TitoloCarattere"/>
    <w:uiPriority w:val="10"/>
    <w:qFormat/>
    <w:rsid w:val="00fe1406"/>
    <w:pPr>
      <w:spacing w:lineRule="auto" w:line="240" w:before="0" w:after="80"/>
      <w:contextualSpacing/>
    </w:pPr>
    <w:rPr>
      <w:rFonts w:ascii="Calibri Light" w:hAnsi="Calibri Light" w:eastAsia="" w:cs="" w:asciiTheme="majorHAnsi" w:cstheme="majorBidi" w:eastAsiaTheme="majorEastAsia" w:hAnsiTheme="majorHAnsi"/>
      <w:spacing w:val="-10"/>
      <w:kern w:val="2"/>
      <w:sz w:val="56"/>
      <w:szCs w:val="56"/>
    </w:rPr>
  </w:style>
  <w:style w:type="paragraph" w:styleId="Subtitle">
    <w:name w:val="Subtitle"/>
    <w:basedOn w:val="Normal"/>
    <w:next w:val="Normal"/>
    <w:link w:val="SottotitoloCarattere"/>
    <w:uiPriority w:val="11"/>
    <w:qFormat/>
    <w:rsid w:val="00fe1406"/>
    <w:pPr/>
    <w:rPr>
      <w:rFonts w:eastAsia="" w:cs="" w:cstheme="majorBidi" w:eastAsiaTheme="majorEastAsia"/>
      <w:color w:themeColor="text1" w:themeTint="a6" w:val="595959"/>
      <w:spacing w:val="15"/>
      <w:sz w:val="28"/>
      <w:szCs w:val="28"/>
    </w:rPr>
  </w:style>
  <w:style w:type="paragraph" w:styleId="Quote">
    <w:name w:val="Quote"/>
    <w:basedOn w:val="Normal"/>
    <w:next w:val="Normal"/>
    <w:link w:val="CitazioneCarattere"/>
    <w:uiPriority w:val="29"/>
    <w:qFormat/>
    <w:rsid w:val="00fe1406"/>
    <w:pPr>
      <w:spacing w:before="160" w:after="160"/>
      <w:jc w:val="center"/>
    </w:pPr>
    <w:rPr>
      <w:i/>
      <w:iCs/>
      <w:color w:themeColor="text1" w:themeTint="bf" w:val="404040"/>
    </w:rPr>
  </w:style>
  <w:style w:type="paragraph" w:styleId="ListParagraph">
    <w:name w:val="List Paragraph"/>
    <w:basedOn w:val="Normal"/>
    <w:uiPriority w:val="34"/>
    <w:qFormat/>
    <w:rsid w:val="00fe1406"/>
    <w:pPr>
      <w:spacing w:before="0" w:after="160"/>
      <w:ind w:start="720"/>
      <w:contextualSpacing/>
    </w:pPr>
    <w:rPr/>
  </w:style>
  <w:style w:type="paragraph" w:styleId="IntenseQuote">
    <w:name w:val="Intense Quote"/>
    <w:basedOn w:val="Normal"/>
    <w:next w:val="Normal"/>
    <w:link w:val="CitazioneintensaCarattere"/>
    <w:uiPriority w:val="30"/>
    <w:qFormat/>
    <w:rsid w:val="00fe1406"/>
    <w:pPr>
      <w:pBdr>
        <w:top w:val="single" w:sz="4" w:space="10" w:color="2F5496" w:themeColor="accent1" w:themeShade="bf"/>
        <w:bottom w:val="single" w:sz="4" w:space="10" w:color="2F5496" w:themeColor="accent1" w:themeShade="bf"/>
      </w:pBdr>
      <w:spacing w:before="360" w:after="360"/>
      <w:ind w:start="864" w:end="864"/>
      <w:jc w:val="center"/>
    </w:pPr>
    <w:rPr>
      <w:i/>
      <w:iCs/>
      <w:color w:themeColor="accent1" w:themeShade="bf" w:val="2F5496"/>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74</TotalTime>
  <Application>LibreOffice/26.2.5.2$Windows_X86_64 LibreOffice_project/cd7284b4cbbfeb507e630c1aac019f4157393acb</Application>
  <AppVersion>15.0000</AppVersion>
  <Pages>2</Pages>
  <Words>591</Words>
  <Characters>3240</Characters>
  <CharactersWithSpaces>3803</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2026-09-16T15:29:00Z</dcterms:created>
  <dc:creator>Dirigenti</dc:creator>
  <dc:description/>
  <dc:language>it-IT</dc:language>
  <cp:lastModifiedBy/>
  <cp:lastPrinted>2026-02-26T11:15:00Z</cp:lastPrinted>
  <dcterms:modified xsi:type="dcterms:W3CDTF">2026-09-16T21:23:31Z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